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List1"/>
        <w:tblW w:w="14220" w:type="dxa"/>
        <w:tblInd w:w="37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14220"/>
      </w:tblGrid>
      <w:tr w:rsidR="005209F1" w:rsidTr="00314658">
        <w:trPr>
          <w:cnfStyle w:val="100000000000"/>
          <w:trHeight w:val="450"/>
        </w:trPr>
        <w:tc>
          <w:tcPr>
            <w:cnfStyle w:val="001000000000"/>
            <w:tcW w:w="1422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:rsidR="003969F6" w:rsidRPr="004A1DA3" w:rsidRDefault="005471A9" w:rsidP="005471A9">
            <w:pPr>
              <w:ind w:left="360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4A1DA3">
              <w:rPr>
                <w:rFonts w:ascii="Times New Roman" w:hAnsi="Times New Roman" w:cs="Times New Roman"/>
                <w:sz w:val="32"/>
                <w:szCs w:val="32"/>
              </w:rPr>
              <w:t>EXPLORING ROOT CAUSES</w:t>
            </w:r>
            <w:r w:rsidR="00346433"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 w:rsidR="00346433" w:rsidRPr="004A1DA3">
              <w:rPr>
                <w:rFonts w:ascii="Times New Roman" w:hAnsi="Times New Roman" w:cs="Times New Roman"/>
                <w:sz w:val="32"/>
                <w:szCs w:val="32"/>
              </w:rPr>
              <w:t xml:space="preserve"> REFLECTING ON THE DATA</w:t>
            </w:r>
          </w:p>
          <w:p w:rsidR="005209F1" w:rsidRPr="00BE7F87" w:rsidRDefault="005209F1" w:rsidP="003969F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378" w:tblpY="145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14148"/>
      </w:tblGrid>
      <w:tr w:rsidR="004A1DA3" w:rsidTr="004A1DA3">
        <w:tc>
          <w:tcPr>
            <w:tcW w:w="14148" w:type="dxa"/>
            <w:shd w:val="clear" w:color="auto" w:fill="D9D9D9" w:themeFill="background1" w:themeFillShade="D9"/>
          </w:tcPr>
          <w:p w:rsidR="004A1DA3" w:rsidRPr="003969F6" w:rsidRDefault="004A1DA3" w:rsidP="004A1DA3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9F6">
              <w:rPr>
                <w:rFonts w:ascii="Times New Roman" w:hAnsi="Times New Roman" w:cs="Times New Roman"/>
                <w:b/>
                <w:sz w:val="24"/>
                <w:szCs w:val="24"/>
              </w:rPr>
              <w:t>Directions</w:t>
            </w:r>
          </w:p>
          <w:p w:rsidR="004B6CA7" w:rsidRDefault="004B6CA7" w:rsidP="004B6C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your areas of concern, select a priority concern to explore for possible root causes.  List the priority concern in the box below.</w:t>
            </w:r>
          </w:p>
          <w:p w:rsidR="004B6CA7" w:rsidRDefault="004B6CA7" w:rsidP="004B6C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a group, brainstorm reasons why this concern might exist.  List these reasons as possible root causes.  When determining root causes, consider the four common places of education:  Learner/Student, Curriculum, Teacher/Instructional Practice, Classroom/ Environment.</w:t>
            </w:r>
          </w:p>
          <w:p w:rsidR="004B6CA7" w:rsidRDefault="004B6CA7" w:rsidP="004B6C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each possible root cause, list in the evidence column the current data that support the possible root cause.  Be sure to look at more than one data source since a concern can have more than one cause.  Also include data that you need to further substantiate your possible causes. </w:t>
            </w:r>
          </w:p>
          <w:p w:rsidR="004A1DA3" w:rsidRPr="003969F6" w:rsidRDefault="004A1DA3" w:rsidP="004B6CA7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8E5" w:rsidRDefault="00E658E5" w:rsidP="0078306A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"/>
        <w:tblpPr w:leftFromText="180" w:rightFromText="180" w:vertAnchor="text" w:horzAnchor="margin" w:tblpX="378" w:tblpY="28"/>
        <w:tblW w:w="1386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D9D9D9" w:themeFill="background1" w:themeFillShade="D9"/>
        <w:tblLook w:val="04A0"/>
      </w:tblPr>
      <w:tblGrid>
        <w:gridCol w:w="6093"/>
        <w:gridCol w:w="7767"/>
      </w:tblGrid>
      <w:tr w:rsidR="004A1DA3" w:rsidTr="004A1DA3">
        <w:trPr>
          <w:cnfStyle w:val="100000000000"/>
        </w:trPr>
        <w:tc>
          <w:tcPr>
            <w:cnfStyle w:val="001000000000"/>
            <w:tcW w:w="1386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A1DA3" w:rsidRPr="00FC306E" w:rsidRDefault="00B91980" w:rsidP="004A1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Priority Concern</w:t>
            </w:r>
          </w:p>
          <w:p w:rsidR="004A1DA3" w:rsidRPr="00BE7F87" w:rsidRDefault="004A1DA3" w:rsidP="004A1DA3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Over the past three years, males have not mastered the essential learning for reading.  When compared to their female peers, evidence indicates that an average of 46% of boys in grades 3-5 received less than a “C” on their report cards, while only 22% of females received similar grades.  </w:t>
            </w:r>
          </w:p>
        </w:tc>
      </w:tr>
      <w:tr w:rsidR="004A1DA3" w:rsidTr="004A1DA3">
        <w:trPr>
          <w:cnfStyle w:val="000000100000"/>
        </w:trPr>
        <w:tc>
          <w:tcPr>
            <w:cnfStyle w:val="001000000000"/>
            <w:tcW w:w="6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1DA3" w:rsidRDefault="004A1DA3" w:rsidP="004A1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Possible </w:t>
            </w:r>
            <w:r w:rsidR="00346433">
              <w:rPr>
                <w:rFonts w:ascii="Times New Roman" w:hAnsi="Times New Roman" w:cs="Times New Roman"/>
                <w:sz w:val="24"/>
                <w:szCs w:val="24"/>
              </w:rPr>
              <w:t xml:space="preserve">Root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Causes</w:t>
            </w:r>
          </w:p>
          <w:p w:rsidR="00570826" w:rsidRPr="00FC306E" w:rsidRDefault="00570826" w:rsidP="004A1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1DA3" w:rsidRPr="00FC306E" w:rsidRDefault="004A1DA3" w:rsidP="004A1DA3">
            <w:pPr>
              <w:jc w:val="center"/>
              <w:cnfStyle w:val="0000001000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Evidence</w:t>
            </w:r>
          </w:p>
        </w:tc>
      </w:tr>
      <w:tr w:rsidR="004A1DA3" w:rsidTr="004A1DA3">
        <w:tc>
          <w:tcPr>
            <w:cnfStyle w:val="001000000000"/>
            <w:tcW w:w="6093" w:type="dxa"/>
            <w:shd w:val="clear" w:color="auto" w:fill="FFFFFF" w:themeFill="background1"/>
          </w:tcPr>
          <w:p w:rsidR="004A1DA3" w:rsidRPr="00914F56" w:rsidRDefault="004A1DA3" w:rsidP="004A1DA3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Learner/Student</w:t>
            </w:r>
            <w:r w:rsidRPr="00914F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Boys are absent more than girls and frequent absences cause gaps in learning.</w:t>
            </w:r>
          </w:p>
        </w:tc>
        <w:tc>
          <w:tcPr>
            <w:tcW w:w="7767" w:type="dxa"/>
            <w:shd w:val="clear" w:color="auto" w:fill="FFFFFF" w:themeFill="background1"/>
          </w:tcPr>
          <w:p w:rsidR="004A1DA3" w:rsidRDefault="004A1DA3" w:rsidP="004A1DA3">
            <w:pPr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Data show that boys on average miss 2-3 days more school days per marking period than girls. Boys who are not achieving mastery in reading are absent more than eight days per marking period.</w:t>
            </w:r>
          </w:p>
          <w:p w:rsidR="004A1DA3" w:rsidRPr="00914F56" w:rsidRDefault="004A1DA3" w:rsidP="004A1DA3">
            <w:pPr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1DA3" w:rsidTr="004A1DA3">
        <w:trPr>
          <w:cnfStyle w:val="000000100000"/>
        </w:trPr>
        <w:tc>
          <w:tcPr>
            <w:cnfStyle w:val="001000000000"/>
            <w:tcW w:w="6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1DA3" w:rsidRPr="00914F56" w:rsidRDefault="004A1DA3" w:rsidP="004A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F56">
              <w:rPr>
                <w:rFonts w:ascii="Times New Roman" w:hAnsi="Times New Roman" w:cs="Times New Roman"/>
                <w:sz w:val="24"/>
                <w:szCs w:val="24"/>
              </w:rPr>
              <w:t>Curriculum: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BE3">
              <w:rPr>
                <w:rFonts w:ascii="Times New Roman" w:hAnsi="Times New Roman" w:cs="Times New Roman"/>
                <w:b w:val="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eading curriculum does not include topics of interest to boys.</w:t>
            </w:r>
          </w:p>
        </w:tc>
        <w:tc>
          <w:tcPr>
            <w:tcW w:w="77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1DA3" w:rsidRDefault="004A1DA3" w:rsidP="004A1DA3">
            <w:pPr>
              <w:cnfStyle w:val="0000001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785">
              <w:rPr>
                <w:rFonts w:ascii="Times New Roman" w:hAnsi="Times New Roman" w:cs="Times New Roman"/>
                <w:bCs/>
                <w:sz w:val="24"/>
                <w:szCs w:val="24"/>
              </w:rPr>
              <w:t>Data Needs</w:t>
            </w:r>
            <w:r w:rsidRPr="00914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Review reading texts; correlate assessment of Opportunity to Learn/Time on Task: assess student engagement of boys vs. girls by observation survey.</w:t>
            </w:r>
          </w:p>
          <w:p w:rsidR="004A1DA3" w:rsidRPr="00914F56" w:rsidRDefault="004A1DA3" w:rsidP="004A1DA3">
            <w:pPr>
              <w:cnfStyle w:val="0000001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1DA3" w:rsidTr="004A1DA3">
        <w:tc>
          <w:tcPr>
            <w:cnfStyle w:val="001000000000"/>
            <w:tcW w:w="6093" w:type="dxa"/>
            <w:shd w:val="clear" w:color="auto" w:fill="FFFFFF" w:themeFill="background1"/>
          </w:tcPr>
          <w:p w:rsidR="004A1DA3" w:rsidRPr="00914F56" w:rsidRDefault="004A1DA3" w:rsidP="007A778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Teacher/Instructional Practice: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Teachers have lower expectations </w:t>
            </w:r>
            <w:r w:rsidR="007A7785" w:rsidRPr="00F70650">
              <w:rPr>
                <w:rFonts w:ascii="Times New Roman" w:hAnsi="Times New Roman" w:cs="Times New Roman"/>
                <w:b w:val="0"/>
                <w:sz w:val="24"/>
                <w:szCs w:val="24"/>
              </w:rPr>
              <w:t>for</w:t>
            </w:r>
            <w:r w:rsidR="007A77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boys’ ability in reading.</w:t>
            </w:r>
          </w:p>
        </w:tc>
        <w:tc>
          <w:tcPr>
            <w:tcW w:w="7767" w:type="dxa"/>
            <w:shd w:val="clear" w:color="auto" w:fill="FFFFFF" w:themeFill="background1"/>
          </w:tcPr>
          <w:p w:rsidR="004A1DA3" w:rsidRPr="00914F56" w:rsidRDefault="00F70650" w:rsidP="00F70650">
            <w:pPr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Observation data indicate that teachers call on boys 25% less </w:t>
            </w:r>
            <w:r w:rsidR="00C319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often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than on girls.</w:t>
            </w:r>
          </w:p>
        </w:tc>
      </w:tr>
      <w:tr w:rsidR="004A1DA3" w:rsidTr="004A1DA3">
        <w:trPr>
          <w:cnfStyle w:val="000000100000"/>
        </w:trPr>
        <w:tc>
          <w:tcPr>
            <w:cnfStyle w:val="001000000000"/>
            <w:tcW w:w="6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1DA3" w:rsidRPr="00914F56" w:rsidRDefault="004A1DA3" w:rsidP="004A1DA3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Classroom/Environment: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There are too many distractions and interruptions during the day, and boys have more trouble staying or getting back on task.</w:t>
            </w:r>
          </w:p>
        </w:tc>
        <w:tc>
          <w:tcPr>
            <w:tcW w:w="776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A1DA3" w:rsidRPr="00914F56" w:rsidRDefault="004A1DA3" w:rsidP="004A1DA3">
            <w:pPr>
              <w:cnfStyle w:val="0000001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correlate assessment data show that 63 percent of staff rate daily interruptions in learning as “high” or “very high.”  In addition, 76 percent of staff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find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class management “difficult” or “very difficult.”</w:t>
            </w:r>
          </w:p>
        </w:tc>
      </w:tr>
    </w:tbl>
    <w:p w:rsidR="00023CFD" w:rsidRPr="008624BE" w:rsidRDefault="00023CFD" w:rsidP="00023C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Adapted from </w:t>
      </w:r>
      <w:proofErr w:type="spellStart"/>
      <w:r>
        <w:rPr>
          <w:rFonts w:ascii="Times New Roman" w:hAnsi="Times New Roman" w:cs="Times New Roman"/>
        </w:rPr>
        <w:t>Lezotte</w:t>
      </w:r>
      <w:proofErr w:type="spellEnd"/>
      <w:r>
        <w:rPr>
          <w:rFonts w:ascii="Times New Roman" w:hAnsi="Times New Roman" w:cs="Times New Roman"/>
        </w:rPr>
        <w:t xml:space="preserve"> and McKee, Implementation Guide for </w:t>
      </w:r>
      <w:r w:rsidRPr="004B5059">
        <w:rPr>
          <w:rFonts w:ascii="Times New Roman" w:hAnsi="Times New Roman" w:cs="Times New Roman"/>
          <w:i/>
        </w:rPr>
        <w:t>Assembly Required</w:t>
      </w:r>
      <w:r>
        <w:rPr>
          <w:rFonts w:ascii="Times New Roman" w:hAnsi="Times New Roman" w:cs="Times New Roman"/>
        </w:rPr>
        <w:t xml:space="preserve">:  </w:t>
      </w:r>
      <w:r w:rsidRPr="004B5059">
        <w:rPr>
          <w:rFonts w:ascii="Times New Roman" w:hAnsi="Times New Roman" w:cs="Times New Roman"/>
          <w:i/>
        </w:rPr>
        <w:t>A Continuous School Improvement System</w:t>
      </w:r>
      <w:r>
        <w:rPr>
          <w:rFonts w:ascii="Times New Roman" w:hAnsi="Times New Roman" w:cs="Times New Roman"/>
        </w:rPr>
        <w:t xml:space="preserve">. </w:t>
      </w:r>
    </w:p>
    <w:p w:rsidR="00023CFD" w:rsidRPr="008624BE" w:rsidRDefault="00023CFD" w:rsidP="00023CFD">
      <w:pPr>
        <w:rPr>
          <w:rFonts w:ascii="Times New Roman" w:hAnsi="Times New Roman" w:cs="Times New Roman"/>
          <w:sz w:val="24"/>
          <w:szCs w:val="24"/>
        </w:rPr>
      </w:pPr>
    </w:p>
    <w:sectPr w:rsidR="00023CFD" w:rsidRPr="008624BE" w:rsidSect="003969F6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433" w:rsidRDefault="00346433" w:rsidP="0078306A">
      <w:pPr>
        <w:spacing w:after="0" w:line="240" w:lineRule="auto"/>
      </w:pPr>
      <w:r>
        <w:separator/>
      </w:r>
    </w:p>
  </w:endnote>
  <w:endnote w:type="continuationSeparator" w:id="0">
    <w:p w:rsidR="00346433" w:rsidRDefault="00346433" w:rsidP="00783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433" w:rsidRDefault="00346433" w:rsidP="0078306A">
      <w:pPr>
        <w:spacing w:after="0" w:line="240" w:lineRule="auto"/>
      </w:pPr>
      <w:r>
        <w:separator/>
      </w:r>
    </w:p>
  </w:footnote>
  <w:footnote w:type="continuationSeparator" w:id="0">
    <w:p w:rsidR="00346433" w:rsidRDefault="00346433" w:rsidP="00783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433" w:rsidRDefault="003464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7C27"/>
    <w:multiLevelType w:val="hybridMultilevel"/>
    <w:tmpl w:val="C6AAEBB2"/>
    <w:lvl w:ilvl="0" w:tplc="9B5E05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954B04"/>
    <w:multiLevelType w:val="hybridMultilevel"/>
    <w:tmpl w:val="3FC4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5209F1"/>
    <w:rsid w:val="00023CFD"/>
    <w:rsid w:val="000A55DC"/>
    <w:rsid w:val="001037F5"/>
    <w:rsid w:val="001875D0"/>
    <w:rsid w:val="002E1123"/>
    <w:rsid w:val="00314658"/>
    <w:rsid w:val="00346433"/>
    <w:rsid w:val="003969F6"/>
    <w:rsid w:val="004A1DA3"/>
    <w:rsid w:val="004B6CA7"/>
    <w:rsid w:val="005209F1"/>
    <w:rsid w:val="005463C3"/>
    <w:rsid w:val="005471A9"/>
    <w:rsid w:val="00563707"/>
    <w:rsid w:val="00570826"/>
    <w:rsid w:val="00633FC3"/>
    <w:rsid w:val="006476E1"/>
    <w:rsid w:val="0065285D"/>
    <w:rsid w:val="00687491"/>
    <w:rsid w:val="0078306A"/>
    <w:rsid w:val="007A7785"/>
    <w:rsid w:val="00872167"/>
    <w:rsid w:val="008A7F3C"/>
    <w:rsid w:val="008D6328"/>
    <w:rsid w:val="008D6621"/>
    <w:rsid w:val="008E49DF"/>
    <w:rsid w:val="00914F56"/>
    <w:rsid w:val="00944377"/>
    <w:rsid w:val="00A01F37"/>
    <w:rsid w:val="00B63BE3"/>
    <w:rsid w:val="00B91980"/>
    <w:rsid w:val="00BE7F87"/>
    <w:rsid w:val="00C31983"/>
    <w:rsid w:val="00C9396B"/>
    <w:rsid w:val="00CF532E"/>
    <w:rsid w:val="00D26C58"/>
    <w:rsid w:val="00D31D35"/>
    <w:rsid w:val="00D33E6A"/>
    <w:rsid w:val="00DF0523"/>
    <w:rsid w:val="00E03AB0"/>
    <w:rsid w:val="00E328D9"/>
    <w:rsid w:val="00E658E5"/>
    <w:rsid w:val="00EA710B"/>
    <w:rsid w:val="00F32384"/>
    <w:rsid w:val="00F57CDC"/>
    <w:rsid w:val="00F70650"/>
    <w:rsid w:val="00FC306E"/>
    <w:rsid w:val="00FC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">
    <w:name w:val="Medium List 1"/>
    <w:basedOn w:val="TableNormal"/>
    <w:uiPriority w:val="65"/>
    <w:rsid w:val="00520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BE7F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trong">
    <w:name w:val="Strong"/>
    <w:basedOn w:val="DefaultParagraphFont"/>
    <w:uiPriority w:val="22"/>
    <w:qFormat/>
    <w:rsid w:val="00FC306E"/>
    <w:rPr>
      <w:b/>
      <w:bCs/>
    </w:rPr>
  </w:style>
  <w:style w:type="paragraph" w:styleId="ListParagraph">
    <w:name w:val="List Paragraph"/>
    <w:basedOn w:val="Normal"/>
    <w:uiPriority w:val="34"/>
    <w:qFormat/>
    <w:rsid w:val="00E658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83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306A"/>
  </w:style>
  <w:style w:type="paragraph" w:styleId="Footer">
    <w:name w:val="footer"/>
    <w:basedOn w:val="Normal"/>
    <w:link w:val="FooterChar"/>
    <w:uiPriority w:val="99"/>
    <w:semiHidden/>
    <w:unhideWhenUsed/>
    <w:rsid w:val="00783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306A"/>
  </w:style>
  <w:style w:type="paragraph" w:styleId="BalloonText">
    <w:name w:val="Balloon Text"/>
    <w:basedOn w:val="Normal"/>
    <w:link w:val="BalloonTextChar"/>
    <w:uiPriority w:val="99"/>
    <w:semiHidden/>
    <w:unhideWhenUsed/>
    <w:rsid w:val="00F7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6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ruby_thompson</dc:creator>
  <cp:keywords/>
  <dc:description/>
  <cp:lastModifiedBy>Wake County Public Schools</cp:lastModifiedBy>
  <cp:revision>10</cp:revision>
  <cp:lastPrinted>2011-06-01T19:05:00Z</cp:lastPrinted>
  <dcterms:created xsi:type="dcterms:W3CDTF">2011-06-14T17:52:00Z</dcterms:created>
  <dcterms:modified xsi:type="dcterms:W3CDTF">2011-06-15T15:06:00Z</dcterms:modified>
</cp:coreProperties>
</file>